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E04CF" w:rsidR="008D3435" w:rsidP="2CFDA4F2" w:rsidRDefault="2CFDA4F2" w14:paraId="42CAD690" w14:textId="001311FF">
      <w:pPr>
        <w:ind w:left="3600"/>
        <w:rPr>
          <w:b/>
          <w:bCs/>
          <w:color w:val="FFFFFF" w:themeColor="background1"/>
          <w:sz w:val="24"/>
          <w:highlight w:val="darkCyan"/>
        </w:rPr>
      </w:pPr>
      <w:r w:rsidRPr="00DE04CF">
        <w:rPr>
          <w:b/>
          <w:bCs/>
          <w:color w:val="FFFFFF" w:themeColor="background1"/>
          <w:sz w:val="24"/>
          <w:highlight w:val="darkCyan"/>
        </w:rPr>
        <w:t>Prescreen Tracking</w:t>
      </w:r>
      <w:r w:rsidR="00821638">
        <w:rPr>
          <w:b/>
          <w:bCs/>
          <w:color w:val="FFFFFF" w:themeColor="background1"/>
          <w:sz w:val="24"/>
          <w:highlight w:val="darkCyan"/>
        </w:rPr>
        <w:t xml:space="preserve"> </w:t>
      </w:r>
    </w:p>
    <w:p w:rsidRPr="0004078C" w:rsidR="00D92762" w:rsidRDefault="414B9CD3" w14:paraId="010BAD89" w14:textId="0EF7E2AA">
      <w:pPr>
        <w:rPr>
          <w:b/>
        </w:rPr>
      </w:pPr>
      <w:r w:rsidRPr="0004078C">
        <w:rPr>
          <w:b/>
        </w:rPr>
        <w:t xml:space="preserve">All subcontractors are required to report prescreen numbers quarterly in the </w:t>
      </w:r>
      <w:r w:rsidR="00821638">
        <w:rPr>
          <w:b/>
        </w:rPr>
        <w:t>P</w:t>
      </w:r>
      <w:r w:rsidRPr="0004078C">
        <w:rPr>
          <w:b/>
        </w:rPr>
        <w:t xml:space="preserve">rescreen </w:t>
      </w:r>
      <w:r w:rsidR="00821638">
        <w:rPr>
          <w:b/>
        </w:rPr>
        <w:t>T</w:t>
      </w:r>
      <w:r w:rsidRPr="0004078C">
        <w:rPr>
          <w:b/>
        </w:rPr>
        <w:t xml:space="preserve">racking tab. </w:t>
      </w:r>
    </w:p>
    <w:p w:rsidR="00D92762" w:rsidP="00DE04CF" w:rsidRDefault="2CFDA4F2" w14:paraId="29CD5020" w14:textId="2282A941">
      <w:pPr>
        <w:pStyle w:val="ListParagraph"/>
        <w:numPr>
          <w:ilvl w:val="0"/>
          <w:numId w:val="2"/>
        </w:numPr>
      </w:pPr>
      <w:r>
        <w:t xml:space="preserve">Indicate the quarter the prescreen(s) took place by using the drop-down options in the </w:t>
      </w:r>
      <w:r w:rsidRPr="00DE04CF">
        <w:rPr>
          <w:b/>
          <w:bCs/>
        </w:rPr>
        <w:t>quarter</w:t>
      </w:r>
      <w:r>
        <w:t xml:space="preserve"> column (column A). </w:t>
      </w:r>
    </w:p>
    <w:p w:rsidR="00DE04CF" w:rsidP="5C551E7C" w:rsidRDefault="5C551E7C" w14:paraId="7FD76413" w14:textId="337AB3A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List the </w:t>
      </w:r>
      <w:r w:rsidRPr="5C551E7C">
        <w:rPr>
          <w:b/>
          <w:bCs/>
        </w:rPr>
        <w:t xml:space="preserve">date or date range </w:t>
      </w:r>
      <w:r>
        <w:t>(column B) that the prescreen(s) took place</w:t>
      </w:r>
    </w:p>
    <w:p w:rsidR="00D92762" w:rsidP="00DE04CF" w:rsidRDefault="00DE04CF" w14:paraId="18C955B0" w14:textId="4FA4C99D">
      <w:pPr>
        <w:pStyle w:val="ListParagraph"/>
        <w:numPr>
          <w:ilvl w:val="0"/>
          <w:numId w:val="2"/>
        </w:numPr>
      </w:pPr>
      <w:r>
        <w:t>D</w:t>
      </w:r>
      <w:r w:rsidR="00D92762">
        <w:t xml:space="preserve">escribe where the prescreens took place in the </w:t>
      </w:r>
      <w:r w:rsidRPr="00DE04CF" w:rsidR="00D92762">
        <w:rPr>
          <w:b/>
        </w:rPr>
        <w:t xml:space="preserve">outreach description/setting </w:t>
      </w:r>
      <w:r w:rsidRPr="00D92762" w:rsidR="00D92762">
        <w:t>column</w:t>
      </w:r>
      <w:r w:rsidR="00D92762">
        <w:t xml:space="preserve"> (column C).</w:t>
      </w:r>
    </w:p>
    <w:p w:rsidR="00D92762" w:rsidP="5C551E7C" w:rsidRDefault="5C551E7C" w14:paraId="626515F1" w14:textId="19927D7B">
      <w:r>
        <w:t xml:space="preserve">For example, if you conducted a virtual outreach event that utilized an online prescreen form, you would enter the date of the event and the </w:t>
      </w:r>
      <w:r w:rsidRPr="5C551E7C">
        <w:rPr>
          <w:b/>
          <w:bCs/>
        </w:rPr>
        <w:t>total number of prescreens</w:t>
      </w:r>
      <w:r>
        <w:t xml:space="preserve"> from the form. </w:t>
      </w:r>
    </w:p>
    <w:p w:rsidR="00D92762" w:rsidRDefault="00D92762" w14:paraId="595BB6E3" w14:textId="77777777">
      <w:r>
        <w:t xml:space="preserve">An </w:t>
      </w:r>
      <w:r w:rsidR="00A7492F">
        <w:t xml:space="preserve">example </w:t>
      </w:r>
      <w:r>
        <w:t>would look like this:</w:t>
      </w:r>
    </w:p>
    <w:p w:rsidRPr="002518D1" w:rsidR="002518D1" w:rsidP="002518D1" w:rsidRDefault="5C551E7C" w14:paraId="3BC7A45D" w14:textId="32165F2D">
      <w:r>
        <w:rPr>
          <w:noProof/>
        </w:rPr>
        <w:drawing>
          <wp:inline distT="0" distB="0" distL="0" distR="0" wp14:anchorId="6E40B4C6" wp14:editId="22F893A5">
            <wp:extent cx="6324600" cy="2015966"/>
            <wp:effectExtent l="0" t="0" r="0" b="3810"/>
            <wp:docPr id="2011150284" name="Picture 2011150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234" cy="202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E04CF" w:rsidR="00D92762" w:rsidP="5C551E7C" w:rsidRDefault="5C551E7C" w14:paraId="39EA4A8E" w14:textId="2461174D">
      <w:pPr>
        <w:ind w:left="3600"/>
        <w:rPr>
          <w:b/>
          <w:bCs/>
          <w:color w:val="FFFFFF" w:themeColor="background1"/>
          <w:sz w:val="24"/>
          <w:szCs w:val="24"/>
          <w:highlight w:val="darkCyan"/>
        </w:rPr>
      </w:pPr>
      <w:r w:rsidRPr="5C551E7C">
        <w:rPr>
          <w:b/>
          <w:bCs/>
          <w:color w:val="FFFFFF" w:themeColor="background1"/>
          <w:sz w:val="24"/>
          <w:szCs w:val="24"/>
          <w:highlight w:val="darkCyan"/>
        </w:rPr>
        <w:t>Partnership Tracking</w:t>
      </w:r>
    </w:p>
    <w:p w:rsidRPr="0004078C" w:rsidR="00D92762" w:rsidRDefault="00D92762" w14:paraId="42B8878D" w14:textId="61211E85">
      <w:pPr>
        <w:rPr>
          <w:b/>
        </w:rPr>
      </w:pPr>
      <w:r w:rsidRPr="0004078C">
        <w:rPr>
          <w:b/>
        </w:rPr>
        <w:t>All subcontractors are required to report partnership numbers quarter</w:t>
      </w:r>
      <w:r w:rsidR="00821638">
        <w:rPr>
          <w:b/>
        </w:rPr>
        <w:t>ly</w:t>
      </w:r>
      <w:r w:rsidRPr="0004078C">
        <w:rPr>
          <w:b/>
        </w:rPr>
        <w:t xml:space="preserve"> in the </w:t>
      </w:r>
      <w:r w:rsidR="00821638">
        <w:rPr>
          <w:b/>
        </w:rPr>
        <w:t>P</w:t>
      </w:r>
      <w:r w:rsidRPr="0004078C">
        <w:rPr>
          <w:b/>
        </w:rPr>
        <w:t xml:space="preserve">artner </w:t>
      </w:r>
      <w:r w:rsidR="00821638">
        <w:rPr>
          <w:b/>
        </w:rPr>
        <w:t>T</w:t>
      </w:r>
      <w:r w:rsidRPr="0004078C">
        <w:rPr>
          <w:b/>
        </w:rPr>
        <w:t xml:space="preserve">racking tab. </w:t>
      </w:r>
    </w:p>
    <w:p w:rsidR="00D92762" w:rsidP="00DE04CF" w:rsidRDefault="00D92762" w14:paraId="252FDB1A" w14:textId="77777777">
      <w:pPr>
        <w:pStyle w:val="ListParagraph"/>
        <w:numPr>
          <w:ilvl w:val="0"/>
          <w:numId w:val="3"/>
        </w:numPr>
      </w:pPr>
      <w:r>
        <w:t>Indicate the quarter the partnership took place</w:t>
      </w:r>
      <w:r w:rsidR="00210223">
        <w:t xml:space="preserve"> by</w:t>
      </w:r>
      <w:r>
        <w:t xml:space="preserve"> using the drop down options in the </w:t>
      </w:r>
      <w:r w:rsidRPr="00DE04CF">
        <w:rPr>
          <w:b/>
        </w:rPr>
        <w:t>quarter</w:t>
      </w:r>
      <w:r>
        <w:t xml:space="preserve"> column</w:t>
      </w:r>
      <w:r w:rsidR="00210223">
        <w:t xml:space="preserve"> (column A)</w:t>
      </w:r>
      <w:r>
        <w:t xml:space="preserve">. </w:t>
      </w:r>
    </w:p>
    <w:p w:rsidR="00DE04CF" w:rsidP="00DE04CF" w:rsidRDefault="00210223" w14:paraId="58A0D4CC" w14:textId="77777777">
      <w:pPr>
        <w:pStyle w:val="ListParagraph"/>
        <w:numPr>
          <w:ilvl w:val="0"/>
          <w:numId w:val="3"/>
        </w:numPr>
      </w:pPr>
      <w:r>
        <w:t xml:space="preserve">List the </w:t>
      </w:r>
      <w:r w:rsidRPr="00DE04CF">
        <w:rPr>
          <w:b/>
        </w:rPr>
        <w:t>date</w:t>
      </w:r>
      <w:r>
        <w:t xml:space="preserve"> of the partnership (column B) and indicate if it was a </w:t>
      </w:r>
      <w:r w:rsidRPr="00DE04CF">
        <w:rPr>
          <w:b/>
        </w:rPr>
        <w:t>training or collaborative meeting</w:t>
      </w:r>
      <w:r>
        <w:t xml:space="preserve"> using the drop down options (column C). </w:t>
      </w:r>
    </w:p>
    <w:p w:rsidR="00210223" w:rsidP="00DE04CF" w:rsidRDefault="00210223" w14:paraId="7DA480FD" w14:textId="20397DEE">
      <w:pPr>
        <w:pStyle w:val="ListParagraph"/>
        <w:numPr>
          <w:ilvl w:val="0"/>
          <w:numId w:val="3"/>
        </w:numPr>
      </w:pPr>
      <w:r>
        <w:t xml:space="preserve">List the </w:t>
      </w:r>
      <w:r w:rsidRPr="00DE04CF">
        <w:rPr>
          <w:b/>
        </w:rPr>
        <w:t xml:space="preserve">partner name </w:t>
      </w:r>
      <w:r>
        <w:t xml:space="preserve">(column D) and briefly </w:t>
      </w:r>
      <w:r w:rsidRPr="00DE04CF">
        <w:rPr>
          <w:b/>
        </w:rPr>
        <w:t>describe</w:t>
      </w:r>
      <w:r>
        <w:t xml:space="preserve"> the partnership in 1-2 sentences (column E).</w:t>
      </w:r>
    </w:p>
    <w:p w:rsidR="00A7492F" w:rsidRDefault="002518D1" w14:paraId="65103BA0" w14:textId="6F9BCD90">
      <w:r>
        <w:rPr>
          <w:noProof/>
        </w:rPr>
        <w:drawing>
          <wp:anchor distT="0" distB="0" distL="114300" distR="114300" simplePos="0" relativeHeight="251661312" behindDoc="0" locked="0" layoutInCell="1" allowOverlap="1" wp14:anchorId="11C61999" wp14:editId="05340F10">
            <wp:simplePos x="0" y="0"/>
            <wp:positionH relativeFrom="column">
              <wp:posOffset>0</wp:posOffset>
            </wp:positionH>
            <wp:positionV relativeFrom="paragraph">
              <wp:posOffset>231594</wp:posOffset>
            </wp:positionV>
            <wp:extent cx="6493329" cy="190776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hip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000" cy="1919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92F">
        <w:t xml:space="preserve">An example would look like this: </w:t>
      </w:r>
    </w:p>
    <w:p w:rsidR="00A7492F" w:rsidRDefault="00A7492F" w14:paraId="41C8F396" w14:textId="3FA36523"/>
    <w:p w:rsidR="007C3744" w:rsidRDefault="007C3744" w14:paraId="72A3D3EC" w14:textId="2C4C26A2"/>
    <w:p w:rsidR="007C3744" w:rsidRDefault="007C3744" w14:paraId="0D0B940D" w14:textId="190F00BB"/>
    <w:p w:rsidR="007C3744" w:rsidRDefault="007C3744" w14:paraId="0E27B00A" w14:textId="6301A898"/>
    <w:p w:rsidR="5C551E7C" w:rsidP="002518D1" w:rsidRDefault="5C551E7C" w14:paraId="58BB9C2F" w14:textId="4BB73A6A">
      <w:pPr>
        <w:rPr>
          <w:b/>
          <w:bCs/>
          <w:color w:val="FFFFFF" w:themeColor="background1"/>
          <w:sz w:val="24"/>
          <w:szCs w:val="24"/>
          <w:highlight w:val="darkCyan"/>
        </w:rPr>
      </w:pPr>
    </w:p>
    <w:p w:rsidRPr="006A1900" w:rsidR="002F5444" w:rsidP="006A1900" w:rsidRDefault="2CFDA4F2" w14:paraId="5F4FC2EB" w14:textId="41548F59">
      <w:pPr>
        <w:ind w:left="2880"/>
        <w:rPr>
          <w:b/>
          <w:bCs/>
          <w:color w:val="FFFFFF" w:themeColor="background1"/>
          <w:sz w:val="24"/>
          <w:highlight w:val="darkCyan"/>
        </w:rPr>
      </w:pPr>
      <w:r w:rsidRPr="00DE04CF">
        <w:rPr>
          <w:b/>
          <w:bCs/>
          <w:color w:val="FFFFFF" w:themeColor="background1"/>
          <w:sz w:val="24"/>
          <w:highlight w:val="darkCyan"/>
        </w:rPr>
        <w:lastRenderedPageBreak/>
        <w:t>Quarter Tabs (Q1, Q2, Q3, Q4)</w:t>
      </w:r>
    </w:p>
    <w:p w:rsidRPr="0004078C" w:rsidR="00B1296D" w:rsidP="414B9CD3" w:rsidRDefault="00AD067D" w14:paraId="0C268272" w14:textId="4E9CADA1">
      <w:pPr>
        <w:rPr>
          <w:b/>
        </w:rPr>
      </w:pPr>
      <w:r w:rsidRPr="0004078C">
        <w:rPr>
          <w:b/>
        </w:rPr>
        <w:t xml:space="preserve">Tracking </w:t>
      </w:r>
      <w:r w:rsidRPr="0004078C" w:rsidR="2CFDA4F2">
        <w:rPr>
          <w:b/>
        </w:rPr>
        <w:t>applications submitted</w:t>
      </w:r>
      <w:r w:rsidRPr="0004078C" w:rsidR="00AD6FA8">
        <w:rPr>
          <w:b/>
        </w:rPr>
        <w:t xml:space="preserve"> </w:t>
      </w:r>
      <w:r w:rsidR="00821638">
        <w:rPr>
          <w:b/>
        </w:rPr>
        <w:t xml:space="preserve">in the Quarter Tab </w:t>
      </w:r>
      <w:r w:rsidRPr="0004078C" w:rsidR="00AD6FA8">
        <w:rPr>
          <w:b/>
          <w:u w:val="single"/>
        </w:rPr>
        <w:t>may or may not be required</w:t>
      </w:r>
      <w:r w:rsidRPr="0004078C" w:rsidR="00AD6FA8">
        <w:rPr>
          <w:b/>
        </w:rPr>
        <w:t xml:space="preserve"> </w:t>
      </w:r>
      <w:r w:rsidR="00821638">
        <w:rPr>
          <w:b/>
        </w:rPr>
        <w:t xml:space="preserve">depending upon the way the application is submitted </w:t>
      </w:r>
      <w:r w:rsidRPr="0004078C" w:rsidR="00AD6FA8">
        <w:rPr>
          <w:b/>
        </w:rPr>
        <w:t>as noted below</w:t>
      </w:r>
      <w:r w:rsidRPr="0004078C" w:rsidR="2CFDA4F2">
        <w:rPr>
          <w:b/>
        </w:rPr>
        <w:t>:</w:t>
      </w:r>
    </w:p>
    <w:p w:rsidR="00821638" w:rsidP="0004078C" w:rsidRDefault="00821638" w14:paraId="56C55E52" w14:textId="6251202D">
      <w:pPr>
        <w:ind w:left="360"/>
        <w:rPr>
          <w:b/>
          <w:bCs/>
        </w:rPr>
      </w:pPr>
      <w:r w:rsidRPr="00A72F46">
        <w:rPr>
          <w:b/>
          <w:bCs/>
          <w:highlight w:val="yellow"/>
        </w:rPr>
        <w:t xml:space="preserve">For </w:t>
      </w:r>
      <w:r w:rsidRPr="0004078C" w:rsidR="00AD067D">
        <w:rPr>
          <w:b/>
          <w:bCs/>
          <w:highlight w:val="yellow"/>
        </w:rPr>
        <w:t>applications submitted through GetCalFresh.org (via the assistor CBO account or</w:t>
      </w:r>
      <w:r w:rsidR="00D15330">
        <w:rPr>
          <w:b/>
          <w:bCs/>
          <w:highlight w:val="yellow"/>
        </w:rPr>
        <w:t xml:space="preserve"> the referral URL) YOU </w:t>
      </w:r>
      <w:r w:rsidRPr="00A72F46" w:rsidR="00AD6FA8">
        <w:rPr>
          <w:b/>
          <w:bCs/>
          <w:highlight w:val="yellow"/>
        </w:rPr>
        <w:t xml:space="preserve">ARE </w:t>
      </w:r>
      <w:r w:rsidRPr="0004078C" w:rsidR="00AD067D">
        <w:rPr>
          <w:b/>
          <w:bCs/>
          <w:highlight w:val="yellow"/>
          <w:u w:val="single"/>
        </w:rPr>
        <w:t xml:space="preserve">NOT </w:t>
      </w:r>
      <w:r w:rsidRPr="00A72F46" w:rsidR="00AD6FA8">
        <w:rPr>
          <w:b/>
          <w:bCs/>
          <w:highlight w:val="yellow"/>
        </w:rPr>
        <w:t xml:space="preserve">REQUIRED </w:t>
      </w:r>
      <w:r w:rsidRPr="0004078C" w:rsidR="2CFDA4F2">
        <w:rPr>
          <w:b/>
          <w:bCs/>
          <w:highlight w:val="yellow"/>
        </w:rPr>
        <w:t xml:space="preserve">to input those applications in </w:t>
      </w:r>
      <w:r w:rsidRPr="00A72F46">
        <w:rPr>
          <w:b/>
          <w:bCs/>
          <w:highlight w:val="yellow"/>
        </w:rPr>
        <w:t>the Quarter Tab</w:t>
      </w:r>
      <w:r w:rsidRPr="0004078C" w:rsidR="2CFDA4F2">
        <w:rPr>
          <w:b/>
          <w:bCs/>
          <w:highlight w:val="yellow"/>
        </w:rPr>
        <w:t>.</w:t>
      </w:r>
      <w:r w:rsidRPr="0004078C" w:rsidR="2CFDA4F2">
        <w:rPr>
          <w:b/>
          <w:bCs/>
        </w:rPr>
        <w:t xml:space="preserve"> </w:t>
      </w:r>
    </w:p>
    <w:p w:rsidR="00A72F46" w:rsidP="0004078C" w:rsidRDefault="00821638" w14:paraId="4D8E2301" w14:textId="5835731B">
      <w:pPr>
        <w:pStyle w:val="ListParagraph"/>
        <w:numPr>
          <w:ilvl w:val="0"/>
          <w:numId w:val="29"/>
        </w:numPr>
      </w:pPr>
      <w:r w:rsidRPr="00CA0A28">
        <w:t>Instead, we get monthly reports from Code for America that show the total number of applications submitted vi</w:t>
      </w:r>
      <w:r w:rsidR="00A72F46">
        <w:t>a your assistor account and</w:t>
      </w:r>
      <w:r w:rsidRPr="00CA0A28">
        <w:t xml:space="preserve"> referral URL</w:t>
      </w:r>
      <w:r>
        <w:t xml:space="preserve">. </w:t>
      </w:r>
      <w:r w:rsidR="00A72F46">
        <w:t xml:space="preserve"> </w:t>
      </w:r>
      <w:r w:rsidRPr="00CA0A28">
        <w:t xml:space="preserve">Because of this, you </w:t>
      </w:r>
      <w:r>
        <w:t>do not need t</w:t>
      </w:r>
      <w:r w:rsidRPr="00CA0A28">
        <w:t>o duplicate</w:t>
      </w:r>
      <w:r>
        <w:t xml:space="preserve"> </w:t>
      </w:r>
      <w:r w:rsidRPr="00CA0A28">
        <w:t xml:space="preserve">efforts </w:t>
      </w:r>
      <w:r>
        <w:t>by</w:t>
      </w:r>
      <w:r w:rsidRPr="00CA0A28">
        <w:t xml:space="preserve"> enter</w:t>
      </w:r>
      <w:r>
        <w:t>ing</w:t>
      </w:r>
      <w:r w:rsidRPr="00CA0A28">
        <w:t xml:space="preserve"> those applications into </w:t>
      </w:r>
      <w:r>
        <w:t>the Quarter Tab</w:t>
      </w:r>
      <w:r w:rsidR="00A72F46">
        <w:t>.</w:t>
      </w:r>
    </w:p>
    <w:p w:rsidR="00A72F46" w:rsidP="0004078C" w:rsidRDefault="3E48C4A8" w14:paraId="053C3CFA" w14:textId="43AC02EB">
      <w:pPr>
        <w:pStyle w:val="ListParagraph"/>
        <w:numPr>
          <w:ilvl w:val="0"/>
          <w:numId w:val="29"/>
        </w:numPr>
      </w:pPr>
      <w:r w:rsidRPr="3E48C4A8">
        <w:rPr>
          <w:i/>
          <w:iCs/>
        </w:rPr>
        <w:t xml:space="preserve">Note:  However, if you would LIKE to use the Quarter Tab in the master log for your internal tracking and/or follow up processes, you may.  </w:t>
      </w:r>
    </w:p>
    <w:p w:rsidRPr="00AD6FA8" w:rsidR="2CFDA4F2" w:rsidP="0004078C" w:rsidRDefault="2CFDA4F2" w14:paraId="1F72DFF8" w14:textId="62D9A1E7"/>
    <w:p w:rsidRPr="0004078C" w:rsidR="007C3744" w:rsidP="0004078C" w:rsidRDefault="00AD067D" w14:paraId="5DEAFB13" w14:textId="7EC5A56D">
      <w:pPr>
        <w:ind w:left="360"/>
        <w:rPr>
          <w:b w:val="1"/>
          <w:bCs w:val="1"/>
        </w:rPr>
      </w:pPr>
      <w:r w:rsidRPr="3CEC5181" w:rsidR="3CEC5181">
        <w:rPr>
          <w:b w:val="1"/>
          <w:bCs w:val="1"/>
          <w:highlight w:val="yellow"/>
        </w:rPr>
        <w:t>For applications submitted through any other method (</w:t>
      </w:r>
      <w:r w:rsidRPr="3CEC5181" w:rsidR="3CEC5181">
        <w:rPr>
          <w:b w:val="1"/>
          <w:bCs w:val="1"/>
          <w:highlight w:val="yellow"/>
          <w:u w:val="single"/>
        </w:rPr>
        <w:t xml:space="preserve">C4Yourself, </w:t>
      </w:r>
      <w:r w:rsidRPr="3CEC5181" w:rsidR="3CEC5181">
        <w:rPr>
          <w:b w:val="1"/>
          <w:bCs w:val="1"/>
          <w:highlight w:val="yellow"/>
          <w:u w:val="single"/>
        </w:rPr>
        <w:t>CalWIN</w:t>
      </w:r>
      <w:r w:rsidRPr="3CEC5181" w:rsidR="3CEC5181">
        <w:rPr>
          <w:b w:val="1"/>
          <w:bCs w:val="1"/>
          <w:highlight w:val="yellow"/>
          <w:u w:val="single"/>
        </w:rPr>
        <w:t>, YBN, Paper, County Worker, etc.</w:t>
      </w:r>
      <w:r w:rsidRPr="3CEC5181" w:rsidR="3CEC5181">
        <w:rPr>
          <w:b w:val="1"/>
          <w:bCs w:val="1"/>
          <w:highlight w:val="yellow"/>
        </w:rPr>
        <w:t xml:space="preserve">) you </w:t>
      </w:r>
      <w:r w:rsidRPr="3CEC5181" w:rsidR="3CEC5181">
        <w:rPr>
          <w:b w:val="1"/>
          <w:bCs w:val="1"/>
          <w:highlight w:val="yellow"/>
          <w:u w:val="single"/>
        </w:rPr>
        <w:t>ARE</w:t>
      </w:r>
      <w:r w:rsidRPr="3CEC5181" w:rsidR="3CEC5181">
        <w:rPr>
          <w:b w:val="1"/>
          <w:bCs w:val="1"/>
          <w:highlight w:val="yellow"/>
        </w:rPr>
        <w:t xml:space="preserve"> REQUIRED to enter in those applications in the Quarter Tab.</w:t>
      </w:r>
      <w:r w:rsidRPr="3CEC5181" w:rsidR="3CEC5181">
        <w:rPr>
          <w:b w:val="1"/>
          <w:bCs w:val="1"/>
        </w:rPr>
        <w:t xml:space="preserve"> </w:t>
      </w:r>
    </w:p>
    <w:p w:rsidR="00AD6FA8" w:rsidP="0004078C" w:rsidRDefault="00AD6FA8" w14:paraId="7C21D773" w14:textId="60145084">
      <w:pPr>
        <w:pStyle w:val="ListParagraph"/>
        <w:numPr>
          <w:ilvl w:val="0"/>
          <w:numId w:val="13"/>
        </w:numPr>
        <w:ind w:left="1080"/>
      </w:pPr>
      <w:r>
        <w:t>These applications are not included in the Cod</w:t>
      </w:r>
      <w:r w:rsidR="00A72F46">
        <w:t>e for America report so we must</w:t>
      </w:r>
      <w:r>
        <w:t xml:space="preserve"> collect this data.</w:t>
      </w:r>
    </w:p>
    <w:p w:rsidRPr="0004078C" w:rsidR="00A72F46" w:rsidP="0004078C" w:rsidRDefault="00AD6FA8" w14:paraId="7973F44F" w14:textId="77777777">
      <w:pPr>
        <w:pStyle w:val="ListParagraph"/>
        <w:numPr>
          <w:ilvl w:val="0"/>
          <w:numId w:val="13"/>
        </w:numPr>
        <w:ind w:left="1080"/>
        <w:rPr>
          <w:u w:val="single"/>
        </w:rPr>
      </w:pPr>
      <w:r>
        <w:t xml:space="preserve">Fill out all columns in the master log the same way you have done in the past. </w:t>
      </w:r>
    </w:p>
    <w:p w:rsidRPr="007C653F" w:rsidR="00FD715E" w:rsidP="00FD715E" w:rsidRDefault="00AD6FA8" w14:paraId="281C4D2F" w14:textId="3AA314E4">
      <w:pPr>
        <w:pStyle w:val="ListParagraph"/>
        <w:numPr>
          <w:ilvl w:val="0"/>
          <w:numId w:val="13"/>
        </w:numPr>
        <w:ind w:left="1080"/>
        <w:rPr>
          <w:u w:val="single"/>
        </w:rPr>
      </w:pPr>
      <w:r w:rsidRPr="0004078C">
        <w:rPr>
          <w:i/>
        </w:rPr>
        <w:t>Note: The student exemptions section is now optional and you can collect this information if you choose too.</w:t>
      </w:r>
    </w:p>
    <w:p w:rsidR="00FD715E" w:rsidP="00FD715E" w:rsidRDefault="00FD715E" w14:paraId="1F21B13B" w14:textId="50CBF187">
      <w:pPr>
        <w:rPr>
          <w:u w:val="single"/>
        </w:rPr>
      </w:pPr>
    </w:p>
    <w:p w:rsidRPr="00FD715E" w:rsidR="007C653F" w:rsidP="00FD715E" w:rsidRDefault="007C653F" w14:paraId="3AFDB4B1" w14:textId="77777777">
      <w:pPr>
        <w:rPr>
          <w:u w:val="single"/>
        </w:rPr>
      </w:pPr>
    </w:p>
    <w:p w:rsidRPr="0004078C" w:rsidR="2CFDA4F2" w:rsidRDefault="00A72F46" w14:paraId="2BF7485E" w14:textId="7AA1B9E3">
      <w:pPr>
        <w:rPr>
          <w:b/>
        </w:rPr>
      </w:pPr>
      <w:r>
        <w:rPr>
          <w:b/>
          <w:u w:val="single"/>
        </w:rPr>
        <w:t xml:space="preserve">Additionally, </w:t>
      </w:r>
      <w:r>
        <w:rPr>
          <w:b/>
        </w:rPr>
        <w:t>a</w:t>
      </w:r>
      <w:r w:rsidRPr="0004078C" w:rsidR="2CFDA4F2">
        <w:rPr>
          <w:b/>
        </w:rPr>
        <w:t xml:space="preserve">ll subcontractors are required to report verifications </w:t>
      </w:r>
      <w:r w:rsidR="00821638">
        <w:rPr>
          <w:b/>
        </w:rPr>
        <w:t xml:space="preserve">(SAR7 and Recertifications) </w:t>
      </w:r>
      <w:r w:rsidRPr="0004078C" w:rsidR="2CFDA4F2">
        <w:rPr>
          <w:b/>
        </w:rPr>
        <w:t>submitted on behalf of a client</w:t>
      </w:r>
      <w:r>
        <w:rPr>
          <w:b/>
        </w:rPr>
        <w:t xml:space="preserve"> in the Quarter Tab as noted below:</w:t>
      </w:r>
    </w:p>
    <w:p w:rsidRPr="00C770C5" w:rsidR="00C770C5" w:rsidP="00DE04CF" w:rsidRDefault="2CFDA4F2" w14:paraId="1A78367A" w14:textId="29C0D140">
      <w:pPr>
        <w:pStyle w:val="ListParagraph"/>
        <w:numPr>
          <w:ilvl w:val="0"/>
          <w:numId w:val="4"/>
        </w:numPr>
      </w:pPr>
      <w:r>
        <w:t xml:space="preserve">Use the drop-down option in the </w:t>
      </w:r>
      <w:r w:rsidRPr="00DE04CF">
        <w:rPr>
          <w:b/>
          <w:bCs/>
        </w:rPr>
        <w:t>type of assist</w:t>
      </w:r>
      <w:r>
        <w:t xml:space="preserve"> column (column C) and mark </w:t>
      </w:r>
      <w:r w:rsidRPr="00DE04CF">
        <w:rPr>
          <w:b/>
          <w:bCs/>
        </w:rPr>
        <w:t>“verification”</w:t>
      </w:r>
      <w:r>
        <w:t xml:space="preserve">. </w:t>
      </w:r>
    </w:p>
    <w:p w:rsidRPr="00C770C5" w:rsidR="00C770C5" w:rsidP="00DE04CF" w:rsidRDefault="2CFDA4F2" w14:paraId="22290A1D" w14:textId="6346CA36">
      <w:pPr>
        <w:pStyle w:val="ListParagraph"/>
        <w:numPr>
          <w:ilvl w:val="1"/>
          <w:numId w:val="4"/>
        </w:numPr>
      </w:pPr>
      <w:r>
        <w:t xml:space="preserve">After marking verification, you’ll see specific boxes automatically shade in. Please do not fill out these cells. </w:t>
      </w:r>
    </w:p>
    <w:p w:rsidR="00F13935" w:rsidP="00DE04CF" w:rsidRDefault="2CFDA4F2" w14:paraId="10EB7BAB" w14:textId="635577EC">
      <w:pPr>
        <w:pStyle w:val="ListParagraph"/>
        <w:numPr>
          <w:ilvl w:val="0"/>
          <w:numId w:val="4"/>
        </w:numPr>
      </w:pPr>
      <w:r>
        <w:t xml:space="preserve">In the </w:t>
      </w:r>
      <w:r w:rsidRPr="00DE04CF">
        <w:rPr>
          <w:b/>
        </w:rPr>
        <w:t>type of verification</w:t>
      </w:r>
      <w:r>
        <w:t xml:space="preserve"> column</w:t>
      </w:r>
      <w:r w:rsidR="002F5444">
        <w:t xml:space="preserve"> (column D)</w:t>
      </w:r>
      <w:r>
        <w:t>, indicate if it was an “</w:t>
      </w:r>
      <w:r w:rsidRPr="00DE04CF">
        <w:rPr>
          <w:b/>
        </w:rPr>
        <w:t>original application, SAR7, or RE</w:t>
      </w:r>
      <w:r>
        <w:t>”.</w:t>
      </w:r>
    </w:p>
    <w:p w:rsidR="360B528E" w:rsidP="00CE40FE" w:rsidRDefault="006F48D2" w14:paraId="50C93EC0" w14:textId="08040356">
      <w:r>
        <w:t>An example would look like this:</w:t>
      </w:r>
    </w:p>
    <w:p w:rsidR="00CE40FE" w:rsidP="00CE40FE" w:rsidRDefault="00FD715E" w14:paraId="7A4E6868" w14:textId="2711026F">
      <w:r>
        <w:rPr>
          <w:noProof/>
        </w:rPr>
        <w:drawing>
          <wp:inline distT="0" distB="0" distL="0" distR="0" wp14:anchorId="52972621" wp14:editId="3BFF6B80">
            <wp:extent cx="6806838" cy="135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ific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400" cy="137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3F" w:rsidP="008F4001" w:rsidRDefault="007C653F" w14:paraId="4EBEDB07" w14:textId="3209AC50">
      <w:pPr>
        <w:jc w:val="center"/>
        <w:rPr>
          <w:rStyle w:val="normaltextrun"/>
          <w:rFonts w:ascii="Calibri" w:hAnsi="Calibri" w:cs="Calibri"/>
          <w:b/>
          <w:bCs/>
          <w:color w:val="FFFFFF"/>
          <w:sz w:val="24"/>
          <w:shd w:val="clear" w:color="auto" w:fill="008080"/>
        </w:rPr>
      </w:pPr>
    </w:p>
    <w:p w:rsidRPr="008F4001" w:rsidR="454FA02B" w:rsidP="008F4001" w:rsidRDefault="008F4001" w14:paraId="5E36F25D" w14:textId="1D65356A">
      <w:pPr>
        <w:jc w:val="center"/>
        <w:rPr>
          <w:sz w:val="24"/>
        </w:rPr>
      </w:pPr>
      <w:r w:rsidRPr="008F4001">
        <w:rPr>
          <w:rStyle w:val="normaltextrun"/>
          <w:rFonts w:ascii="Calibri" w:hAnsi="Calibri" w:cs="Calibri"/>
          <w:b/>
          <w:bCs/>
          <w:color w:val="FFFFFF"/>
          <w:sz w:val="24"/>
          <w:shd w:val="clear" w:color="auto" w:fill="008080"/>
        </w:rPr>
        <w:lastRenderedPageBreak/>
        <w:t>Follow-ups</w:t>
      </w:r>
    </w:p>
    <w:p w:rsidRPr="008F30AA" w:rsidR="00560912" w:rsidP="454FA02B" w:rsidRDefault="008F4001" w14:paraId="60AA9293" w14:textId="1E1A42FB">
      <w:pPr>
        <w:rPr>
          <w:highlight w:val="yellow"/>
          <w:u w:val="single"/>
        </w:rPr>
      </w:pPr>
      <w:r>
        <w:t xml:space="preserve">Our funders, California Department of Social Services (CDSS) has requested that we use an approval rate that is generated from monthly CalFresh Custom State reports. </w:t>
      </w:r>
      <w:r w:rsidR="00D40534">
        <w:t xml:space="preserve">For Year 3, we will apply that </w:t>
      </w:r>
      <w:r>
        <w:t>approval rate to your electronic applications submitted. This means that you are no longer required to submit follow-up information.</w:t>
      </w:r>
      <w:bookmarkStart w:name="_GoBack" w:id="0"/>
      <w:bookmarkEnd w:id="0"/>
    </w:p>
    <w:p w:rsidR="00F13935" w:rsidP="008F30AA" w:rsidRDefault="008F4001" w14:paraId="3656B9AB" w14:textId="6597A928">
      <w:r>
        <w:t>Subcontractors are still required to conduct follow ups for applications submitted to ensure your clients have all the support they need. You can choose to do your follow-ups in the following ways:</w:t>
      </w:r>
    </w:p>
    <w:p w:rsidRPr="008F4001" w:rsidR="008F4001" w:rsidP="008F4001" w:rsidRDefault="008F4001" w14:paraId="52EB7A9D" w14:textId="0FB576FE">
      <w:pPr>
        <w:pStyle w:val="ListParagraph"/>
        <w:numPr>
          <w:ilvl w:val="0"/>
          <w:numId w:val="30"/>
        </w:numPr>
        <w:rPr>
          <w:u w:val="single"/>
        </w:rPr>
      </w:pPr>
      <w:r>
        <w:t>In the GetCalFresh case notes</w:t>
      </w:r>
    </w:p>
    <w:p w:rsidRPr="008F4001" w:rsidR="008F4001" w:rsidP="008F4001" w:rsidRDefault="008F4001" w14:paraId="3FA2BA1A" w14:textId="34AA4EFB">
      <w:pPr>
        <w:pStyle w:val="ListParagraph"/>
        <w:numPr>
          <w:ilvl w:val="0"/>
          <w:numId w:val="30"/>
        </w:numPr>
        <w:rPr>
          <w:u w:val="single"/>
        </w:rPr>
      </w:pPr>
      <w:r>
        <w:t>In an external log</w:t>
      </w:r>
    </w:p>
    <w:p w:rsidRPr="008F4001" w:rsidR="008F4001" w:rsidP="008F4001" w:rsidRDefault="008F4001" w14:paraId="04A4BEDD" w14:textId="164FA8AF">
      <w:pPr>
        <w:pStyle w:val="ListParagraph"/>
        <w:numPr>
          <w:ilvl w:val="0"/>
          <w:numId w:val="30"/>
        </w:numPr>
        <w:rPr>
          <w:u w:val="single"/>
        </w:rPr>
      </w:pPr>
      <w:r>
        <w:t>In the master log</w:t>
      </w:r>
    </w:p>
    <w:p w:rsidRPr="007C3744" w:rsidR="007C3744" w:rsidRDefault="007C3744" w14:paraId="45FB0818" w14:textId="77777777"/>
    <w:sectPr w:rsidRPr="007C3744" w:rsidR="007C37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3CF"/>
    <w:multiLevelType w:val="hybridMultilevel"/>
    <w:tmpl w:val="4D58C0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5B1CD6"/>
    <w:multiLevelType w:val="hybridMultilevel"/>
    <w:tmpl w:val="DD8828B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52747AF"/>
    <w:multiLevelType w:val="hybridMultilevel"/>
    <w:tmpl w:val="C53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345282"/>
    <w:multiLevelType w:val="hybridMultilevel"/>
    <w:tmpl w:val="53BE18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91317E"/>
    <w:multiLevelType w:val="hybridMultilevel"/>
    <w:tmpl w:val="E83CEE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B04EEA"/>
    <w:multiLevelType w:val="hybridMultilevel"/>
    <w:tmpl w:val="52DE8E4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17D156E1"/>
    <w:multiLevelType w:val="hybridMultilevel"/>
    <w:tmpl w:val="7D686E6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FF658AD"/>
    <w:multiLevelType w:val="hybridMultilevel"/>
    <w:tmpl w:val="5D4ED9F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24F7730"/>
    <w:multiLevelType w:val="hybridMultilevel"/>
    <w:tmpl w:val="9142262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5212CFB"/>
    <w:multiLevelType w:val="hybridMultilevel"/>
    <w:tmpl w:val="9C6ECA1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5613FC4"/>
    <w:multiLevelType w:val="hybridMultilevel"/>
    <w:tmpl w:val="2CD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CB5B48"/>
    <w:multiLevelType w:val="hybridMultilevel"/>
    <w:tmpl w:val="2C54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0D232BA"/>
    <w:multiLevelType w:val="hybridMultilevel"/>
    <w:tmpl w:val="94EA3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724E5"/>
    <w:multiLevelType w:val="hybridMultilevel"/>
    <w:tmpl w:val="4AC607E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626133F"/>
    <w:multiLevelType w:val="hybridMultilevel"/>
    <w:tmpl w:val="3120FEE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AC43C33"/>
    <w:multiLevelType w:val="hybridMultilevel"/>
    <w:tmpl w:val="879C12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F868CD"/>
    <w:multiLevelType w:val="hybridMultilevel"/>
    <w:tmpl w:val="78105A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E0430BB"/>
    <w:multiLevelType w:val="hybridMultilevel"/>
    <w:tmpl w:val="56D219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FA3BD4"/>
    <w:multiLevelType w:val="hybridMultilevel"/>
    <w:tmpl w:val="CBC49E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D1731A"/>
    <w:multiLevelType w:val="hybridMultilevel"/>
    <w:tmpl w:val="FC36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57AB774E"/>
    <w:multiLevelType w:val="hybridMultilevel"/>
    <w:tmpl w:val="287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0060C3E"/>
    <w:multiLevelType w:val="hybridMultilevel"/>
    <w:tmpl w:val="B1D6CE9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60E04F37"/>
    <w:multiLevelType w:val="hybridMultilevel"/>
    <w:tmpl w:val="7210410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64D912B0"/>
    <w:multiLevelType w:val="hybridMultilevel"/>
    <w:tmpl w:val="178C944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A047918"/>
    <w:multiLevelType w:val="hybridMultilevel"/>
    <w:tmpl w:val="ACDABE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847FFB"/>
    <w:multiLevelType w:val="hybridMultilevel"/>
    <w:tmpl w:val="21CC03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C2D4A31"/>
    <w:multiLevelType w:val="hybridMultilevel"/>
    <w:tmpl w:val="14CC29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754C3D1A"/>
    <w:multiLevelType w:val="hybridMultilevel"/>
    <w:tmpl w:val="7CFAF18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799237FC"/>
    <w:multiLevelType w:val="hybridMultilevel"/>
    <w:tmpl w:val="12A80A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E05658E"/>
    <w:multiLevelType w:val="hybridMultilevel"/>
    <w:tmpl w:val="6C7C395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3"/>
  </w:num>
  <w:num w:numId="5">
    <w:abstractNumId w:val="17"/>
  </w:num>
  <w:num w:numId="6">
    <w:abstractNumId w:val="28"/>
  </w:num>
  <w:num w:numId="7">
    <w:abstractNumId w:val="21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4"/>
  </w:num>
  <w:num w:numId="13">
    <w:abstractNumId w:val="25"/>
  </w:num>
  <w:num w:numId="14">
    <w:abstractNumId w:val="10"/>
  </w:num>
  <w:num w:numId="15">
    <w:abstractNumId w:val="18"/>
  </w:num>
  <w:num w:numId="16">
    <w:abstractNumId w:val="5"/>
  </w:num>
  <w:num w:numId="17">
    <w:abstractNumId w:val="27"/>
  </w:num>
  <w:num w:numId="18">
    <w:abstractNumId w:val="9"/>
  </w:num>
  <w:num w:numId="19">
    <w:abstractNumId w:val="23"/>
  </w:num>
  <w:num w:numId="20">
    <w:abstractNumId w:val="19"/>
  </w:num>
  <w:num w:numId="21">
    <w:abstractNumId w:val="26"/>
  </w:num>
  <w:num w:numId="22">
    <w:abstractNumId w:val="29"/>
  </w:num>
  <w:num w:numId="23">
    <w:abstractNumId w:val="1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4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33"/>
    <w:rsid w:val="0004078C"/>
    <w:rsid w:val="000A337D"/>
    <w:rsid w:val="00176078"/>
    <w:rsid w:val="00210223"/>
    <w:rsid w:val="002518D1"/>
    <w:rsid w:val="002F5444"/>
    <w:rsid w:val="003A3DEA"/>
    <w:rsid w:val="004B2C3F"/>
    <w:rsid w:val="004E4C55"/>
    <w:rsid w:val="00554803"/>
    <w:rsid w:val="00560912"/>
    <w:rsid w:val="006A1900"/>
    <w:rsid w:val="006F48D2"/>
    <w:rsid w:val="007A5285"/>
    <w:rsid w:val="007C3744"/>
    <w:rsid w:val="007C653F"/>
    <w:rsid w:val="00821638"/>
    <w:rsid w:val="008348F4"/>
    <w:rsid w:val="008527CD"/>
    <w:rsid w:val="008D3435"/>
    <w:rsid w:val="008F30AA"/>
    <w:rsid w:val="008F4001"/>
    <w:rsid w:val="00973D92"/>
    <w:rsid w:val="00A72F46"/>
    <w:rsid w:val="00A7492F"/>
    <w:rsid w:val="00AD067D"/>
    <w:rsid w:val="00AD6FA8"/>
    <w:rsid w:val="00B1296D"/>
    <w:rsid w:val="00C41CA6"/>
    <w:rsid w:val="00C770C5"/>
    <w:rsid w:val="00CE40FE"/>
    <w:rsid w:val="00D15330"/>
    <w:rsid w:val="00D40534"/>
    <w:rsid w:val="00D61133"/>
    <w:rsid w:val="00D61949"/>
    <w:rsid w:val="00D92762"/>
    <w:rsid w:val="00DE04CF"/>
    <w:rsid w:val="00EE2646"/>
    <w:rsid w:val="00F13935"/>
    <w:rsid w:val="00F62FB8"/>
    <w:rsid w:val="00F96925"/>
    <w:rsid w:val="00FD715E"/>
    <w:rsid w:val="00FF0B76"/>
    <w:rsid w:val="2CFDA4F2"/>
    <w:rsid w:val="360B528E"/>
    <w:rsid w:val="3CEC5181"/>
    <w:rsid w:val="3E48C4A8"/>
    <w:rsid w:val="40F863FC"/>
    <w:rsid w:val="414B9CD3"/>
    <w:rsid w:val="454FA02B"/>
    <w:rsid w:val="5C551E7C"/>
    <w:rsid w:val="5CFBC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08DB"/>
  <w15:chartTrackingRefBased/>
  <w15:docId w15:val="{4E68F629-1CDE-4351-B506-03BF4A0F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0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D0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7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D06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D067D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8F4001"/>
  </w:style>
  <w:style w:type="character" w:styleId="eop" w:customStyle="1">
    <w:name w:val="eop"/>
    <w:basedOn w:val="DefaultParagraphFont"/>
    <w:rsid w:val="008F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CSU Chico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M Jensen</dc:creator>
  <keywords/>
  <dc:description/>
  <lastModifiedBy>Natalie Jensen</lastModifiedBy>
  <revision>15</revision>
  <dcterms:created xsi:type="dcterms:W3CDTF">2020-09-09T16:03:00.0000000Z</dcterms:created>
  <dcterms:modified xsi:type="dcterms:W3CDTF">2020-09-28T13:54:07.1191528Z</dcterms:modified>
</coreProperties>
</file>